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2FF" w:rsidRPr="00C50BA2" w:rsidRDefault="00E162FF" w:rsidP="00E162FF">
      <w:pPr>
        <w:spacing w:after="0" w:line="240" w:lineRule="auto"/>
        <w:jc w:val="center"/>
        <w:rPr>
          <w:rFonts w:eastAsia="Times New Roman"/>
          <w:b/>
        </w:rPr>
      </w:pPr>
      <w:r w:rsidRPr="00A75B93">
        <w:rPr>
          <w:rFonts w:eastAsia="Times New Roman"/>
          <w:b/>
        </w:rPr>
        <w:t xml:space="preserve">CHAMAMENTO </w:t>
      </w:r>
      <w:r w:rsidRPr="00C50BA2">
        <w:rPr>
          <w:rFonts w:eastAsia="Times New Roman"/>
          <w:b/>
        </w:rPr>
        <w:t>PÚBLICO Nº 02/2021</w:t>
      </w:r>
    </w:p>
    <w:p w:rsidR="00E162FF" w:rsidRPr="00A75B93" w:rsidRDefault="00E162FF" w:rsidP="00E162FF">
      <w:pPr>
        <w:spacing w:after="0" w:line="240" w:lineRule="auto"/>
        <w:ind w:right="-15"/>
        <w:jc w:val="center"/>
        <w:rPr>
          <w:rFonts w:eastAsia="Times New Roman"/>
        </w:rPr>
      </w:pPr>
      <w:r w:rsidRPr="00A75B93">
        <w:rPr>
          <w:rFonts w:eastAsia="Times New Roman"/>
        </w:rPr>
        <w:t xml:space="preserve">Processo Administrativo nº </w:t>
      </w:r>
      <w:r w:rsidRPr="00A75B93">
        <w:rPr>
          <w:rFonts w:eastAsia="Arial"/>
        </w:rPr>
        <w:t>36000.0000000650/2021</w:t>
      </w:r>
    </w:p>
    <w:p w:rsidR="00E162FF" w:rsidRPr="00E42DF5" w:rsidRDefault="00E162FF" w:rsidP="00E162FF">
      <w:pPr>
        <w:spacing w:after="0" w:line="240" w:lineRule="auto"/>
        <w:ind w:right="-15"/>
        <w:jc w:val="center"/>
        <w:rPr>
          <w:rFonts w:eastAsia="Times New Roman"/>
        </w:rPr>
      </w:pPr>
    </w:p>
    <w:p w:rsidR="00E162FF" w:rsidRPr="00E42DF5" w:rsidRDefault="00E162FF" w:rsidP="00E162FF">
      <w:pPr>
        <w:spacing w:after="0" w:line="240" w:lineRule="auto"/>
        <w:ind w:right="-15"/>
        <w:jc w:val="center"/>
        <w:rPr>
          <w:rFonts w:eastAsia="Times New Roman"/>
        </w:rPr>
      </w:pPr>
      <w:r w:rsidRPr="00E42DF5">
        <w:rPr>
          <w:rFonts w:eastAsia="Times New Roman"/>
          <w:b/>
        </w:rPr>
        <w:t>Anexo III – Declaração do Art. 27 do Decreto nº 69.902, de 2020, e Relação dos Dirigentes da Entidade</w:t>
      </w:r>
    </w:p>
    <w:p w:rsidR="00E162FF" w:rsidRPr="009C30C9" w:rsidRDefault="00E162FF" w:rsidP="00E162FF">
      <w:pPr>
        <w:spacing w:after="0" w:line="240" w:lineRule="auto"/>
        <w:ind w:right="-15"/>
        <w:jc w:val="center"/>
        <w:rPr>
          <w:rFonts w:eastAsia="Times New Roman"/>
        </w:rPr>
      </w:pPr>
    </w:p>
    <w:p w:rsidR="00E162FF" w:rsidRPr="009C30C9" w:rsidRDefault="00E162FF" w:rsidP="00E162FF">
      <w:pPr>
        <w:spacing w:after="0" w:line="240" w:lineRule="auto"/>
        <w:ind w:right="-15"/>
        <w:jc w:val="both"/>
        <w:rPr>
          <w:rFonts w:eastAsia="Times New Roman"/>
        </w:rPr>
      </w:pPr>
      <w:r w:rsidRPr="009C30C9">
        <w:rPr>
          <w:rFonts w:eastAsia="Times New Roman"/>
        </w:rPr>
        <w:t xml:space="preserve">Declaro, em conformidade com os </w:t>
      </w:r>
      <w:proofErr w:type="spellStart"/>
      <w:r w:rsidRPr="009C30C9">
        <w:rPr>
          <w:rFonts w:eastAsia="Times New Roman"/>
        </w:rPr>
        <w:t>arts</w:t>
      </w:r>
      <w:proofErr w:type="spellEnd"/>
      <w:r w:rsidRPr="009C30C9">
        <w:rPr>
          <w:rFonts w:eastAsia="Times New Roman"/>
        </w:rPr>
        <w:t xml:space="preserve">. 26, </w:t>
      </w:r>
      <w:r w:rsidRPr="009C30C9">
        <w:rPr>
          <w:rFonts w:eastAsia="Times New Roman"/>
          <w:i/>
        </w:rPr>
        <w:t>caput</w:t>
      </w:r>
      <w:r w:rsidRPr="009C30C9">
        <w:rPr>
          <w:rFonts w:eastAsia="Times New Roman"/>
        </w:rPr>
        <w:t>, inciso IX, e 27 do Decreto nº 69.902, de 2020, que a (...identificação da OSC...)</w:t>
      </w:r>
    </w:p>
    <w:p w:rsidR="00E162FF" w:rsidRPr="009C30C9" w:rsidRDefault="00E162FF" w:rsidP="00E162FF">
      <w:pPr>
        <w:numPr>
          <w:ilvl w:val="0"/>
          <w:numId w:val="1"/>
        </w:numPr>
        <w:spacing w:after="0" w:line="240" w:lineRule="auto"/>
        <w:ind w:left="0" w:right="-15" w:firstLine="0"/>
        <w:jc w:val="both"/>
      </w:pPr>
      <w:proofErr w:type="gramStart"/>
      <w:r w:rsidRPr="009C30C9">
        <w:rPr>
          <w:rFonts w:eastAsia="Times New Roman"/>
        </w:rPr>
        <w:t>não</w:t>
      </w:r>
      <w:proofErr w:type="gramEnd"/>
      <w:r w:rsidRPr="009C30C9">
        <w:rPr>
          <w:rFonts w:eastAsia="Times New Roman"/>
        </w:rPr>
        <w:t xml:space="preserve"> possui, em seu quadro de dirigentes, (a) membro de Poder ou do Ministério Público Estadual – MP/AL ou dirigente de órgão ou entidade da Administração Pública Estadual; ou (b) cônjuge, companheiro ou parente em linha reta, colateral ou por afinidade, até o segundo grau, de membro de Poder ou do Ministério Público Estadual – MP/AL ou dirigente de órgão ou entidade da Administração Pública Estadual;</w:t>
      </w:r>
    </w:p>
    <w:p w:rsidR="00E162FF" w:rsidRPr="009C30C9" w:rsidRDefault="00E162FF" w:rsidP="00E162FF">
      <w:pPr>
        <w:spacing w:after="0" w:line="240" w:lineRule="auto"/>
        <w:ind w:right="-15"/>
        <w:jc w:val="both"/>
        <w:rPr>
          <w:rFonts w:eastAsia="Times New Roman"/>
        </w:rPr>
      </w:pPr>
      <w:r w:rsidRPr="009C30C9">
        <w:rPr>
          <w:rFonts w:eastAsia="Times New Roman"/>
          <w:b/>
        </w:rPr>
        <w:t>Observação</w:t>
      </w:r>
      <w:r w:rsidRPr="009C30C9">
        <w:rPr>
          <w:rFonts w:eastAsia="Times New Roman"/>
        </w:rPr>
        <w:t xml:space="preserve">: a vedação prevista no </w:t>
      </w:r>
      <w:proofErr w:type="spellStart"/>
      <w:r w:rsidRPr="009C30C9">
        <w:rPr>
          <w:rFonts w:eastAsia="Times New Roman"/>
        </w:rPr>
        <w:t>arts</w:t>
      </w:r>
      <w:proofErr w:type="spellEnd"/>
      <w:r w:rsidRPr="009C30C9">
        <w:rPr>
          <w:rFonts w:eastAsia="Times New Roman"/>
        </w:rPr>
        <w:t xml:space="preserve">. 26, </w:t>
      </w:r>
      <w:r w:rsidRPr="009C30C9">
        <w:rPr>
          <w:rFonts w:eastAsia="Times New Roman"/>
          <w:i/>
        </w:rPr>
        <w:t>caput</w:t>
      </w:r>
      <w:r w:rsidRPr="009C30C9">
        <w:rPr>
          <w:rFonts w:eastAsia="Times New Roman"/>
        </w:rPr>
        <w:t>, inciso IX, do Decreto nº 69.902, de 2020 não se aplica à celebração de parcerias com entidades que, pela sua própria natureza, sejam constituídas pelas autoridades referidas naquele inciso, sendo vedado que a mesma pessoa figure no Termo de Colaboração, simultaneamente, como dirigente e administrador público.</w:t>
      </w:r>
    </w:p>
    <w:p w:rsidR="00E162FF" w:rsidRPr="009C30C9" w:rsidRDefault="00E162FF" w:rsidP="00E162FF">
      <w:pPr>
        <w:numPr>
          <w:ilvl w:val="0"/>
          <w:numId w:val="1"/>
        </w:numPr>
        <w:spacing w:after="0" w:line="240" w:lineRule="auto"/>
        <w:ind w:left="0" w:right="-15" w:firstLine="0"/>
        <w:jc w:val="both"/>
      </w:pPr>
      <w:proofErr w:type="gramStart"/>
      <w:r w:rsidRPr="009C30C9">
        <w:rPr>
          <w:rFonts w:eastAsia="Times New Roman"/>
        </w:rPr>
        <w:t>possui</w:t>
      </w:r>
      <w:proofErr w:type="gramEnd"/>
      <w:r w:rsidRPr="009C30C9">
        <w:rPr>
          <w:rFonts w:eastAsia="Times New Roman"/>
        </w:rPr>
        <w:t xml:space="preserve"> o seguinte quadro de dirigentes, conforme seu estatuto:</w:t>
      </w:r>
    </w:p>
    <w:tbl>
      <w:tblPr>
        <w:tblW w:w="967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1"/>
        <w:gridCol w:w="3259"/>
        <w:gridCol w:w="3260"/>
      </w:tblGrid>
      <w:tr w:rsidR="00E162FF" w:rsidRPr="009C30C9" w:rsidTr="00AA6E06">
        <w:tc>
          <w:tcPr>
            <w:tcW w:w="9670" w:type="dxa"/>
            <w:gridSpan w:val="3"/>
          </w:tcPr>
          <w:p w:rsidR="00E162FF" w:rsidRPr="009C30C9" w:rsidRDefault="00E162FF" w:rsidP="00AA6E06">
            <w:pPr>
              <w:spacing w:after="0" w:line="240" w:lineRule="auto"/>
              <w:ind w:right="-15"/>
              <w:jc w:val="center"/>
              <w:rPr>
                <w:rFonts w:eastAsia="Times New Roman"/>
              </w:rPr>
            </w:pPr>
            <w:r w:rsidRPr="009C30C9">
              <w:rPr>
                <w:rFonts w:eastAsia="Times New Roman"/>
                <w:b/>
              </w:rPr>
              <w:t>RELAÇÃO NOMINAL ATUALIZADA DOS DIRIGENTES DA ENTIDADE</w:t>
            </w:r>
          </w:p>
        </w:tc>
      </w:tr>
      <w:tr w:rsidR="00E162FF" w:rsidRPr="009C30C9" w:rsidTr="00AA6E06">
        <w:tc>
          <w:tcPr>
            <w:tcW w:w="3151" w:type="dxa"/>
          </w:tcPr>
          <w:p w:rsidR="00E162FF" w:rsidRPr="009C30C9" w:rsidRDefault="00E162FF" w:rsidP="00AA6E06">
            <w:pPr>
              <w:spacing w:after="0" w:line="240" w:lineRule="auto"/>
              <w:ind w:right="-15"/>
              <w:jc w:val="center"/>
              <w:rPr>
                <w:rFonts w:eastAsia="Times New Roman"/>
              </w:rPr>
            </w:pPr>
            <w:r w:rsidRPr="009C30C9">
              <w:rPr>
                <w:rFonts w:eastAsia="Times New Roman"/>
                <w:b/>
              </w:rPr>
              <w:t>Nome</w:t>
            </w:r>
          </w:p>
          <w:p w:rsidR="00E162FF" w:rsidRPr="009C30C9" w:rsidRDefault="00E162FF" w:rsidP="00AA6E06">
            <w:pPr>
              <w:spacing w:after="0" w:line="240" w:lineRule="auto"/>
              <w:ind w:right="-15"/>
              <w:jc w:val="center"/>
              <w:rPr>
                <w:rFonts w:eastAsia="Times New Roman"/>
              </w:rPr>
            </w:pPr>
            <w:r w:rsidRPr="009C30C9">
              <w:rPr>
                <w:rFonts w:eastAsia="Times New Roman"/>
                <w:b/>
              </w:rPr>
              <w:t>Cargo</w:t>
            </w:r>
          </w:p>
        </w:tc>
        <w:tc>
          <w:tcPr>
            <w:tcW w:w="3259" w:type="dxa"/>
          </w:tcPr>
          <w:p w:rsidR="00E162FF" w:rsidRPr="009C30C9" w:rsidRDefault="00E162FF" w:rsidP="00AA6E06">
            <w:pPr>
              <w:spacing w:after="0" w:line="240" w:lineRule="auto"/>
              <w:ind w:right="-15"/>
              <w:jc w:val="center"/>
              <w:rPr>
                <w:rFonts w:eastAsia="Times New Roman"/>
              </w:rPr>
            </w:pPr>
            <w:r w:rsidRPr="009C30C9">
              <w:rPr>
                <w:rFonts w:eastAsia="Times New Roman"/>
                <w:b/>
              </w:rPr>
              <w:t>Número e órgão expedidor da Carteira de Identidade</w:t>
            </w:r>
          </w:p>
          <w:p w:rsidR="00E162FF" w:rsidRPr="009C30C9" w:rsidRDefault="00E162FF" w:rsidP="00AA6E06">
            <w:pPr>
              <w:spacing w:after="0" w:line="240" w:lineRule="auto"/>
              <w:ind w:right="-15"/>
              <w:jc w:val="center"/>
              <w:rPr>
                <w:rFonts w:eastAsia="Times New Roman"/>
              </w:rPr>
            </w:pPr>
            <w:r w:rsidRPr="009C30C9">
              <w:rPr>
                <w:rFonts w:eastAsia="Times New Roman"/>
                <w:b/>
              </w:rPr>
              <w:t>Número de registro no Cadastro de Pessoas Físicas – CPF</w:t>
            </w:r>
          </w:p>
        </w:tc>
        <w:tc>
          <w:tcPr>
            <w:tcW w:w="3260" w:type="dxa"/>
          </w:tcPr>
          <w:p w:rsidR="00E162FF" w:rsidRPr="009C30C9" w:rsidRDefault="00E162FF" w:rsidP="00AA6E06">
            <w:pPr>
              <w:spacing w:after="0" w:line="240" w:lineRule="auto"/>
              <w:ind w:right="-15"/>
              <w:jc w:val="center"/>
              <w:rPr>
                <w:rFonts w:eastAsia="Times New Roman"/>
              </w:rPr>
            </w:pPr>
            <w:r w:rsidRPr="009C30C9">
              <w:rPr>
                <w:rFonts w:eastAsia="Times New Roman"/>
                <w:b/>
              </w:rPr>
              <w:t>Endereço</w:t>
            </w:r>
          </w:p>
          <w:p w:rsidR="00E162FF" w:rsidRPr="009C30C9" w:rsidRDefault="00E162FF" w:rsidP="00AA6E06">
            <w:pPr>
              <w:spacing w:after="0" w:line="240" w:lineRule="auto"/>
              <w:ind w:right="-15"/>
              <w:jc w:val="center"/>
              <w:rPr>
                <w:rFonts w:eastAsia="Times New Roman"/>
              </w:rPr>
            </w:pPr>
            <w:r w:rsidRPr="009C30C9">
              <w:rPr>
                <w:rFonts w:eastAsia="Times New Roman"/>
                <w:b/>
              </w:rPr>
              <w:t>Telefone</w:t>
            </w:r>
          </w:p>
          <w:p w:rsidR="00E162FF" w:rsidRPr="009C30C9" w:rsidRDefault="00E162FF" w:rsidP="00AA6E06">
            <w:pPr>
              <w:spacing w:after="0" w:line="240" w:lineRule="auto"/>
              <w:ind w:right="-15"/>
              <w:jc w:val="center"/>
              <w:rPr>
                <w:rFonts w:eastAsia="Times New Roman"/>
              </w:rPr>
            </w:pPr>
            <w:r w:rsidRPr="009C30C9">
              <w:rPr>
                <w:rFonts w:eastAsia="Times New Roman"/>
                <w:b/>
              </w:rPr>
              <w:t>Endereço de correio eletrônico</w:t>
            </w:r>
          </w:p>
        </w:tc>
      </w:tr>
      <w:tr w:rsidR="00E162FF" w:rsidRPr="009C30C9" w:rsidTr="00AA6E06">
        <w:tc>
          <w:tcPr>
            <w:tcW w:w="3151" w:type="dxa"/>
          </w:tcPr>
          <w:p w:rsidR="00E162FF" w:rsidRPr="009C30C9" w:rsidRDefault="00E162FF" w:rsidP="00AA6E06">
            <w:pPr>
              <w:spacing w:after="0" w:line="240" w:lineRule="auto"/>
              <w:ind w:right="-15"/>
              <w:jc w:val="center"/>
              <w:rPr>
                <w:rFonts w:eastAsia="Times New Roman"/>
              </w:rPr>
            </w:pPr>
            <w:r w:rsidRPr="009C30C9">
              <w:rPr>
                <w:rFonts w:eastAsia="Times New Roman"/>
              </w:rPr>
              <w:t>(...)</w:t>
            </w:r>
          </w:p>
        </w:tc>
        <w:tc>
          <w:tcPr>
            <w:tcW w:w="3259" w:type="dxa"/>
          </w:tcPr>
          <w:p w:rsidR="00E162FF" w:rsidRPr="009C30C9" w:rsidRDefault="00E162FF" w:rsidP="00AA6E06">
            <w:pPr>
              <w:spacing w:after="0" w:line="240" w:lineRule="auto"/>
              <w:ind w:right="-15"/>
              <w:jc w:val="center"/>
              <w:rPr>
                <w:rFonts w:eastAsia="Times New Roman"/>
              </w:rPr>
            </w:pPr>
            <w:r w:rsidRPr="009C30C9">
              <w:rPr>
                <w:rFonts w:eastAsia="Times New Roman"/>
              </w:rPr>
              <w:t>(...)</w:t>
            </w:r>
          </w:p>
        </w:tc>
        <w:tc>
          <w:tcPr>
            <w:tcW w:w="3260" w:type="dxa"/>
          </w:tcPr>
          <w:p w:rsidR="00E162FF" w:rsidRPr="009C30C9" w:rsidRDefault="00E162FF" w:rsidP="00AA6E06">
            <w:pPr>
              <w:spacing w:after="0" w:line="240" w:lineRule="auto"/>
              <w:ind w:right="-15"/>
              <w:jc w:val="center"/>
              <w:rPr>
                <w:rFonts w:eastAsia="Times New Roman"/>
              </w:rPr>
            </w:pPr>
            <w:r w:rsidRPr="009C30C9">
              <w:rPr>
                <w:rFonts w:eastAsia="Times New Roman"/>
              </w:rPr>
              <w:t>(...)</w:t>
            </w:r>
          </w:p>
        </w:tc>
      </w:tr>
      <w:tr w:rsidR="00E162FF" w:rsidRPr="009C30C9" w:rsidTr="00AA6E06">
        <w:tc>
          <w:tcPr>
            <w:tcW w:w="3151" w:type="dxa"/>
          </w:tcPr>
          <w:p w:rsidR="00E162FF" w:rsidRPr="009C30C9" w:rsidRDefault="00E162FF" w:rsidP="00AA6E06">
            <w:pPr>
              <w:spacing w:after="0" w:line="240" w:lineRule="auto"/>
              <w:ind w:right="-15"/>
              <w:jc w:val="center"/>
              <w:rPr>
                <w:rFonts w:eastAsia="Times New Roman"/>
              </w:rPr>
            </w:pPr>
            <w:r w:rsidRPr="009C30C9">
              <w:rPr>
                <w:rFonts w:eastAsia="Times New Roman"/>
              </w:rPr>
              <w:t>(...)</w:t>
            </w:r>
          </w:p>
        </w:tc>
        <w:tc>
          <w:tcPr>
            <w:tcW w:w="3259" w:type="dxa"/>
          </w:tcPr>
          <w:p w:rsidR="00E162FF" w:rsidRPr="009C30C9" w:rsidRDefault="00E162FF" w:rsidP="00AA6E06">
            <w:pPr>
              <w:spacing w:after="0" w:line="240" w:lineRule="auto"/>
              <w:ind w:right="-15"/>
              <w:jc w:val="center"/>
              <w:rPr>
                <w:rFonts w:eastAsia="Times New Roman"/>
              </w:rPr>
            </w:pPr>
            <w:r w:rsidRPr="009C30C9">
              <w:rPr>
                <w:rFonts w:eastAsia="Times New Roman"/>
              </w:rPr>
              <w:t>(...)</w:t>
            </w:r>
          </w:p>
        </w:tc>
        <w:tc>
          <w:tcPr>
            <w:tcW w:w="3260" w:type="dxa"/>
          </w:tcPr>
          <w:p w:rsidR="00E162FF" w:rsidRPr="009C30C9" w:rsidRDefault="00E162FF" w:rsidP="00AA6E06">
            <w:pPr>
              <w:spacing w:after="0" w:line="240" w:lineRule="auto"/>
              <w:ind w:right="-15"/>
              <w:jc w:val="center"/>
              <w:rPr>
                <w:rFonts w:eastAsia="Times New Roman"/>
              </w:rPr>
            </w:pPr>
            <w:r w:rsidRPr="009C30C9">
              <w:rPr>
                <w:rFonts w:eastAsia="Times New Roman"/>
              </w:rPr>
              <w:t>(...)</w:t>
            </w:r>
          </w:p>
        </w:tc>
      </w:tr>
      <w:tr w:rsidR="00E162FF" w:rsidRPr="009C30C9" w:rsidTr="00AA6E06">
        <w:tc>
          <w:tcPr>
            <w:tcW w:w="3151" w:type="dxa"/>
          </w:tcPr>
          <w:p w:rsidR="00E162FF" w:rsidRPr="009C30C9" w:rsidRDefault="00E162FF" w:rsidP="00AA6E06">
            <w:pPr>
              <w:spacing w:after="0" w:line="240" w:lineRule="auto"/>
              <w:ind w:right="-15"/>
              <w:jc w:val="center"/>
              <w:rPr>
                <w:rFonts w:eastAsia="Times New Roman"/>
              </w:rPr>
            </w:pPr>
            <w:r w:rsidRPr="009C30C9">
              <w:rPr>
                <w:rFonts w:eastAsia="Times New Roman"/>
              </w:rPr>
              <w:t>(...)</w:t>
            </w:r>
          </w:p>
        </w:tc>
        <w:tc>
          <w:tcPr>
            <w:tcW w:w="3259" w:type="dxa"/>
          </w:tcPr>
          <w:p w:rsidR="00E162FF" w:rsidRPr="009C30C9" w:rsidRDefault="00E162FF" w:rsidP="00AA6E06">
            <w:pPr>
              <w:spacing w:after="0" w:line="240" w:lineRule="auto"/>
              <w:ind w:right="-15"/>
              <w:jc w:val="center"/>
              <w:rPr>
                <w:rFonts w:eastAsia="Times New Roman"/>
              </w:rPr>
            </w:pPr>
            <w:r w:rsidRPr="009C30C9">
              <w:rPr>
                <w:rFonts w:eastAsia="Times New Roman"/>
              </w:rPr>
              <w:t>(...)</w:t>
            </w:r>
          </w:p>
        </w:tc>
        <w:tc>
          <w:tcPr>
            <w:tcW w:w="3260" w:type="dxa"/>
          </w:tcPr>
          <w:p w:rsidR="00E162FF" w:rsidRPr="009C30C9" w:rsidRDefault="00E162FF" w:rsidP="00AA6E06">
            <w:pPr>
              <w:spacing w:after="0" w:line="240" w:lineRule="auto"/>
              <w:ind w:right="-15"/>
              <w:jc w:val="center"/>
              <w:rPr>
                <w:rFonts w:eastAsia="Times New Roman"/>
              </w:rPr>
            </w:pPr>
            <w:r w:rsidRPr="009C30C9">
              <w:rPr>
                <w:rFonts w:eastAsia="Times New Roman"/>
              </w:rPr>
              <w:t>(...)</w:t>
            </w:r>
          </w:p>
        </w:tc>
      </w:tr>
    </w:tbl>
    <w:p w:rsidR="00E162FF" w:rsidRPr="009C30C9" w:rsidRDefault="00E162FF" w:rsidP="00E162FF">
      <w:pPr>
        <w:numPr>
          <w:ilvl w:val="0"/>
          <w:numId w:val="1"/>
        </w:numPr>
        <w:spacing w:after="0" w:line="240" w:lineRule="auto"/>
        <w:ind w:left="0" w:right="-15" w:firstLine="0"/>
        <w:jc w:val="both"/>
      </w:pPr>
      <w:proofErr w:type="gramStart"/>
      <w:r w:rsidRPr="009C30C9">
        <w:rPr>
          <w:rFonts w:eastAsia="Times New Roman"/>
        </w:rPr>
        <w:t>não</w:t>
      </w:r>
      <w:proofErr w:type="gramEnd"/>
      <w:r w:rsidRPr="009C30C9">
        <w:rPr>
          <w:rFonts w:eastAsia="Times New Roman"/>
        </w:rPr>
        <w:t xml:space="preserve"> contratará, para prestação de serviços, servidor ou empregado público, inclusive aquele que exerça cargo em comissão ou função de confiança, de órgão ou entidade da Administração Pública Estadual celebrante, ou seu cônjuge, companheiro ou parente em linha reta, colateral ou por afinidade, até o segundo grau, ressalvadas as hipóteses previstas em lei específica e na lei de diretrizes orçamentárias;</w:t>
      </w:r>
    </w:p>
    <w:p w:rsidR="00E162FF" w:rsidRPr="00E42DF5" w:rsidRDefault="00E162FF" w:rsidP="00E162FF">
      <w:pPr>
        <w:numPr>
          <w:ilvl w:val="0"/>
          <w:numId w:val="1"/>
        </w:numPr>
        <w:spacing w:after="0" w:line="240" w:lineRule="auto"/>
        <w:ind w:left="0" w:right="-15" w:firstLine="0"/>
        <w:jc w:val="both"/>
      </w:pPr>
      <w:r w:rsidRPr="009C30C9">
        <w:rPr>
          <w:rFonts w:eastAsia="Times New Roman"/>
        </w:rPr>
        <w:t>não remunerará, a qualquer título, com os recursos repassados, (a) membro de Poder ou do Ministério Público ou dirigente de órgão ou entidade da Admin</w:t>
      </w:r>
      <w:r w:rsidRPr="00E42DF5">
        <w:rPr>
          <w:rFonts w:eastAsia="Times New Roman"/>
        </w:rPr>
        <w:t>istração Pública Estadual; (b) servidor ou empregado público, inclusive aquele que exerça cargo em comissão ou função de confiança, de órgão ou entidade da Administração Pública Estadual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w:t>
      </w:r>
    </w:p>
    <w:p w:rsidR="00E162FF" w:rsidRPr="00E42DF5" w:rsidRDefault="00E162FF" w:rsidP="00E162FF">
      <w:pPr>
        <w:spacing w:after="0" w:line="240" w:lineRule="auto"/>
        <w:ind w:right="-15"/>
        <w:rPr>
          <w:rFonts w:eastAsia="Times New Roman"/>
        </w:rPr>
      </w:pPr>
    </w:p>
    <w:p w:rsidR="00E162FF" w:rsidRPr="009C30C9" w:rsidRDefault="00E162FF" w:rsidP="00E162FF">
      <w:pPr>
        <w:spacing w:after="0" w:line="240" w:lineRule="auto"/>
        <w:ind w:right="-15"/>
        <w:jc w:val="center"/>
        <w:rPr>
          <w:rFonts w:eastAsia="Times New Roman"/>
        </w:rPr>
      </w:pPr>
      <w:r w:rsidRPr="00E42DF5">
        <w:rPr>
          <w:rFonts w:eastAsia="Times New Roman"/>
        </w:rPr>
        <w:t xml:space="preserve">Município de Maceió/AL, </w:t>
      </w:r>
      <w:r w:rsidRPr="009C30C9">
        <w:rPr>
          <w:rFonts w:eastAsia="Times New Roman"/>
        </w:rPr>
        <w:t>em (...) de (...) de (20...).</w:t>
      </w:r>
    </w:p>
    <w:p w:rsidR="00E162FF" w:rsidRPr="009C30C9" w:rsidRDefault="00E162FF" w:rsidP="00E162FF">
      <w:pPr>
        <w:spacing w:after="0" w:line="240" w:lineRule="auto"/>
        <w:ind w:right="-15"/>
        <w:rPr>
          <w:rFonts w:eastAsia="Times New Roman"/>
        </w:rPr>
      </w:pPr>
    </w:p>
    <w:p w:rsidR="00E162FF" w:rsidRPr="00E42DF5" w:rsidRDefault="00E162FF" w:rsidP="00E162FF">
      <w:pPr>
        <w:spacing w:after="0" w:line="240" w:lineRule="auto"/>
        <w:ind w:right="-15"/>
        <w:jc w:val="center"/>
        <w:rPr>
          <w:rFonts w:eastAsia="Times New Roman"/>
        </w:rPr>
      </w:pPr>
      <w:r w:rsidRPr="00E42DF5">
        <w:rPr>
          <w:rFonts w:eastAsia="Times New Roman"/>
        </w:rPr>
        <w:t>__________________________________</w:t>
      </w:r>
    </w:p>
    <w:p w:rsidR="00E162FF" w:rsidRDefault="00E162FF" w:rsidP="00E162FF">
      <w:pPr>
        <w:spacing w:after="0" w:line="240" w:lineRule="auto"/>
        <w:ind w:right="-15"/>
        <w:jc w:val="center"/>
        <w:rPr>
          <w:rFonts w:eastAsia="Times New Roman"/>
        </w:rPr>
      </w:pPr>
      <w:r w:rsidRPr="00E42DF5">
        <w:rPr>
          <w:rFonts w:eastAsia="Times New Roman"/>
        </w:rPr>
        <w:t>Identificação e assinatura do representante legal da OSC</w:t>
      </w:r>
    </w:p>
    <w:p w:rsidR="00E162FF" w:rsidRDefault="00E162FF" w:rsidP="00E162FF">
      <w:pPr>
        <w:spacing w:after="0" w:line="240" w:lineRule="auto"/>
        <w:rPr>
          <w:rFonts w:eastAsia="Times New Roman"/>
          <w:b/>
          <w:color w:val="000000"/>
        </w:rPr>
      </w:pPr>
    </w:p>
    <w:p w:rsidR="00F75477" w:rsidRDefault="00F75477">
      <w:bookmarkStart w:id="0" w:name="_GoBack"/>
      <w:bookmarkEnd w:id="0"/>
    </w:p>
    <w:sectPr w:rsidR="00F754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962FA2"/>
    <w:multiLevelType w:val="multilevel"/>
    <w:tmpl w:val="10E8DC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FF"/>
    <w:rsid w:val="00E162FF"/>
    <w:rsid w:val="00F754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706E1-9814-4D05-A7D1-AEDBCF08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2FF"/>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2347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SELAJ</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2021-10-07T18:45:00Z</dcterms:created>
  <dcterms:modified xsi:type="dcterms:W3CDTF">2021-10-07T18:46:00Z</dcterms:modified>
</cp:coreProperties>
</file>